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к распоряжению Правительства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435">
        <w:rPr>
          <w:rFonts w:ascii="Times New Roman" w:hAnsi="Times New Roman" w:cs="Times New Roman"/>
          <w:b/>
          <w:sz w:val="24"/>
          <w:szCs w:val="24"/>
        </w:rPr>
        <w:t>от 12 октября 2019 г. N 2406-р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 ДЛЯ МЕДИЦИНСКОГО ПРИМЕНЕНИЯ,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В ТОМ ЧИСЛЕ ЛЕКАРСТВЕННЫХ ПРЕПАРАТОВ ДЛЯ МЕДИЦИНСКОГО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ПРИМЕНЕНИЯ, НАЗНАЧАЕМЫХ ПО РЕШЕНИЮ ВРАЧЕБНЫХ КОМИССИЙ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435">
        <w:rPr>
          <w:rFonts w:ascii="Times New Roman" w:hAnsi="Times New Roman" w:cs="Times New Roman"/>
          <w:b/>
          <w:bCs/>
          <w:sz w:val="24"/>
          <w:szCs w:val="24"/>
        </w:rPr>
        <w:t>МЕДИЦИНСКИХ ОРГАНИЗАЦИЙ</w:t>
      </w: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224"/>
        <w:gridCol w:w="2551"/>
        <w:gridCol w:w="4423"/>
      </w:tblGrid>
      <w:tr w:rsidR="00C85435" w:rsidRPr="00C85435" w:rsidTr="00C769C5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C85435" w:rsidRPr="00C85435" w:rsidTr="00C769C5">
        <w:tc>
          <w:tcPr>
            <w:tcW w:w="1020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сахарной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В01АЕ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дабигатрана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гидроксида сахарозный комплекс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C8543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бета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C07AG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рецепторов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II в комбинации с другими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применяемые в дерматологии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H03CA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кишечнорастворимой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N05AL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полипептиды коры головного мозга скота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флутиказона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R03BA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C85435" w:rsidRPr="00C85435" w:rsidTr="00C769C5">
        <w:tc>
          <w:tcPr>
            <w:tcW w:w="1020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4224" w:type="dxa"/>
            <w:vMerge w:val="restart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85435" w:rsidRPr="00C85435" w:rsidTr="00C769C5">
        <w:tc>
          <w:tcPr>
            <w:tcW w:w="1020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S01EE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гиперкалиемии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C85435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-железа (III)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, сахарозы и крахмала </w:t>
            </w:r>
            <w:hyperlink w:anchor="Par2616" w:history="1">
              <w:r w:rsidRPr="00C854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V03AF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4224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435" w:rsidRPr="00C85435" w:rsidTr="00C769C5">
        <w:tc>
          <w:tcPr>
            <w:tcW w:w="1020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C85435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C85435" w:rsidRPr="00C85435" w:rsidRDefault="00C85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5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43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85435" w:rsidRDefault="00C85435" w:rsidP="00C85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16"/>
      <w:bookmarkEnd w:id="0"/>
      <w:r w:rsidRPr="00C85435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C769C5" w:rsidRPr="00C85435" w:rsidRDefault="00C769C5" w:rsidP="00C854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Pr="00C85435" w:rsidRDefault="00C85435" w:rsidP="00C8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435" w:rsidRPr="00C769C5" w:rsidRDefault="00C769C5" w:rsidP="00C769C5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69C5">
        <w:rPr>
          <w:rFonts w:ascii="Times New Roman" w:hAnsi="Times New Roman" w:cs="Times New Roman"/>
          <w:b/>
          <w:i/>
          <w:sz w:val="24"/>
          <w:szCs w:val="24"/>
        </w:rPr>
        <w:t>Распоряжение Правительства РФ от 12.10.2019 N 2406-р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</w:t>
      </w:r>
      <w:bookmarkStart w:id="1" w:name="_GoBack"/>
      <w:bookmarkEnd w:id="1"/>
      <w:r w:rsidRPr="00C769C5">
        <w:rPr>
          <w:rFonts w:ascii="Times New Roman" w:hAnsi="Times New Roman" w:cs="Times New Roman"/>
          <w:b/>
          <w:i/>
          <w:sz w:val="24"/>
          <w:szCs w:val="24"/>
        </w:rPr>
        <w:t>ой помощи&gt;</w:t>
      </w:r>
    </w:p>
    <w:sectPr w:rsidR="00C85435" w:rsidRPr="00C769C5" w:rsidSect="00C769C5">
      <w:pgSz w:w="16838" w:h="11905"/>
      <w:pgMar w:top="709" w:right="1134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C7"/>
    <w:rsid w:val="00112959"/>
    <w:rsid w:val="00544D8B"/>
    <w:rsid w:val="00AB17C7"/>
    <w:rsid w:val="00C769C5"/>
    <w:rsid w:val="00C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DCBC2F-CC75-47D6-A31A-CD19F1C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1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17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8714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Анастасия Сивачева</cp:lastModifiedBy>
  <cp:revision>2</cp:revision>
  <dcterms:created xsi:type="dcterms:W3CDTF">2020-01-10T11:26:00Z</dcterms:created>
  <dcterms:modified xsi:type="dcterms:W3CDTF">2020-01-10T11:26:00Z</dcterms:modified>
</cp:coreProperties>
</file>